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20" w:rsidRPr="00386F5E" w:rsidRDefault="003D49EE">
      <w:pPr>
        <w:rPr>
          <w:lang w:val="en-CA"/>
        </w:rPr>
      </w:pPr>
      <w:r w:rsidRPr="00386F5E">
        <w:rPr>
          <w:lang w:val="en-CA"/>
        </w:rPr>
        <w:t>Email blast about ESMIT</w:t>
      </w:r>
    </w:p>
    <w:p w:rsidR="003D49EE" w:rsidRPr="00386F5E" w:rsidRDefault="003D49EE">
      <w:pPr>
        <w:rPr>
          <w:lang w:val="en-CA"/>
        </w:rPr>
      </w:pPr>
    </w:p>
    <w:p w:rsidR="003D49EE" w:rsidRPr="00386F5E" w:rsidRDefault="003D49EE">
      <w:pPr>
        <w:rPr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Dear CANM members:</w:t>
      </w:r>
      <w:r w:rsidR="00386F5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 xml:space="preserve"> 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Because the CANM is an affiliate member of the EANM, our members are given access to the highly regarded European School of Medical Imaging Technology (ESMIT).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The European Nuclear Medicine practice is dynamic and has much experience with many procedures which are now finding their way to Canada. As well, they offer perspectives on established practice.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Times New Roman" w:eastAsia="Times New Roman" w:hAnsi="Times New Roman" w:cs="Times New Roman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ESMIT has been created to respond to huge educational needs of the Nuclear Medicine community and the high demand for multimodality content.</w:t>
      </w:r>
    </w:p>
    <w:p w:rsidR="003D49EE" w:rsidRPr="003D49EE" w:rsidRDefault="003D49EE" w:rsidP="003D49EE">
      <w:pPr>
        <w:rPr>
          <w:rFonts w:ascii="Avenir" w:eastAsia="Times New Roman" w:hAnsi="Avenir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The ESMIT is structured in 3 levels: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Level 1-Entry level of the ESMIT learning experience; it covers very basic topics. It is 100% electronic learning based and all content can be viewed for free after logging in with your personal username and password </w:t>
      </w:r>
      <w:hyperlink r:id="rId4" w:history="1">
        <w:r w:rsidRPr="003D49EE">
          <w:rPr>
            <w:rFonts w:ascii="Avenir-Book" w:eastAsia="Times New Roman" w:hAnsi="Avenir-Book" w:cs="Times New Roman"/>
            <w:color w:val="0000FF"/>
            <w:sz w:val="18"/>
            <w:szCs w:val="18"/>
            <w:u w:val="single"/>
            <w:lang w:val="en-CA"/>
          </w:rPr>
          <w:t>http://elearning.eanm.org</w:t>
        </w:r>
      </w:hyperlink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 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 xml:space="preserve">(You can log in to </w:t>
      </w:r>
      <w:proofErr w:type="spellStart"/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Mainport</w:t>
      </w:r>
      <w:proofErr w:type="spellEnd"/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 xml:space="preserve"> at the Royal College to register your credits at </w:t>
      </w:r>
      <w:hyperlink r:id="rId5" w:history="1">
        <w:r w:rsidRPr="003D49EE">
          <w:rPr>
            <w:rFonts w:ascii="Avenir-Book" w:eastAsia="Times New Roman" w:hAnsi="Avenir-Book" w:cs="Times New Roman"/>
            <w:color w:val="0000FF"/>
            <w:sz w:val="18"/>
            <w:szCs w:val="18"/>
            <w:u w:val="single"/>
            <w:lang w:val="en-CA"/>
          </w:rPr>
          <w:t>www.royalcollege.ca/rcsite/cpd</w:t>
        </w:r>
      </w:hyperlink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 )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Level 2-Intermediate level.</w:t>
      </w:r>
      <w:r w:rsidR="00386F5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 xml:space="preserve"> I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t focuses on every day practice. It consists o</w:t>
      </w:r>
      <w:r w:rsidR="00386F5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 xml:space="preserve">f 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Spring and Autumn Schools covering 4 parallel tracks each for 3 days at a low fee.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Level 3-Advanced level. It takes place at the EANM learning centre in Vienna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u w:val="single"/>
          <w:lang w:val="en-CA"/>
        </w:rPr>
        <w:t>Grants are offered for Levels 2 and 3 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(mainly to Europeans, but others are considered)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Courses to be offered in </w:t>
      </w:r>
      <w:r w:rsidRPr="003D49EE">
        <w:rPr>
          <w:rFonts w:ascii="Avenir-Book" w:eastAsia="Times New Roman" w:hAnsi="Avenir-Book" w:cs="Times New Roman"/>
          <w:b/>
          <w:bCs/>
          <w:color w:val="000000"/>
          <w:sz w:val="18"/>
          <w:szCs w:val="18"/>
          <w:lang w:val="en-CA"/>
        </w:rPr>
        <w:t>2020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 (registration is open):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L1-online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L2-in Krakow (Cardiology, Oncology, Paediatrics, Textural Features Analysis)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L3-in Vienna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Physics-Advances Features in Quantification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2-3 April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Oncology 1-Therapy assessment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23-24 April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Bone &amp; Joint-Post-Operative Skeleton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="00386F5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 xml:space="preserve">28-29 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May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Dosimetry-Practical Implementation of Clinical dosimetry in NM Therapy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="00386F5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="00386F5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18-19 June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Neurology-Quantification in Neurology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12-13 November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 xml:space="preserve">Thyroid-Management of Thyroid Cancer </w:t>
      </w:r>
      <w:proofErr w:type="gramStart"/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()advanced</w:t>
      </w:r>
      <w:proofErr w:type="gramEnd"/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)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26-27 November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Oncology II-Prostate Cancer (advanced)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ab/>
        <w:t>10</w:t>
      </w:r>
      <w:r w:rsidR="00386F5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 xml:space="preserve">-11 </w:t>
      </w: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December</w:t>
      </w: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  <w:t>Further information can be obtained from the following site:</w:t>
      </w:r>
    </w:p>
    <w:p w:rsidR="003D49EE" w:rsidRPr="003D49EE" w:rsidRDefault="003D49EE" w:rsidP="003D49EE">
      <w:pPr>
        <w:rPr>
          <w:rFonts w:ascii="Avenir" w:eastAsia="Times New Roman" w:hAnsi="Avenir" w:cs="Times New Roman"/>
          <w:color w:val="000000"/>
          <w:sz w:val="18"/>
          <w:szCs w:val="18"/>
          <w:lang w:val="en-CA"/>
        </w:rPr>
      </w:pPr>
      <w:r w:rsidRPr="003D49EE">
        <w:rPr>
          <w:rFonts w:ascii="Avenir-Book" w:eastAsia="Times New Roman" w:hAnsi="Avenir-Book" w:cs="Times New Roman"/>
          <w:color w:val="0069D9"/>
          <w:sz w:val="18"/>
          <w:szCs w:val="18"/>
          <w:u w:val="single"/>
          <w:lang w:val="en-CA"/>
        </w:rPr>
        <w:t>https://www.eanm.org/esmit/</w:t>
      </w:r>
    </w:p>
    <w:p w:rsidR="003D49EE" w:rsidRPr="003D49EE" w:rsidRDefault="003D49EE" w:rsidP="003D49EE">
      <w:pPr>
        <w:rPr>
          <w:rFonts w:ascii="Avenir" w:eastAsia="Times New Roman" w:hAnsi="Avenir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</w:p>
    <w:p w:rsidR="003D49EE" w:rsidRPr="003D49EE" w:rsidRDefault="003D49EE" w:rsidP="003D49EE">
      <w:pPr>
        <w:rPr>
          <w:rFonts w:ascii="Avenir-Book" w:eastAsia="Times New Roman" w:hAnsi="Avenir-Book" w:cs="Times New Roman"/>
          <w:color w:val="000000"/>
          <w:sz w:val="18"/>
          <w:szCs w:val="18"/>
          <w:lang w:val="en-CA"/>
        </w:rPr>
      </w:pPr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br/>
        <w:t>Canadian Association of Nuclear Medicine</w:t>
      </w:r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br/>
        <w:t xml:space="preserve">Association </w:t>
      </w:r>
      <w:proofErr w:type="spellStart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t>canadienne</w:t>
      </w:r>
      <w:proofErr w:type="spellEnd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t xml:space="preserve"> de </w:t>
      </w:r>
      <w:proofErr w:type="spellStart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t>médecine</w:t>
      </w:r>
      <w:proofErr w:type="spellEnd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t>nucléaire</w:t>
      </w:r>
      <w:proofErr w:type="spellEnd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br/>
        <w:t xml:space="preserve">P.O. Box 4383, </w:t>
      </w:r>
      <w:proofErr w:type="spellStart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t>Stn</w:t>
      </w:r>
      <w:proofErr w:type="spellEnd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t xml:space="preserve"> E/B.P. 4383, </w:t>
      </w:r>
      <w:proofErr w:type="spellStart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t>Stn</w:t>
      </w:r>
      <w:proofErr w:type="spellEnd"/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t xml:space="preserve"> E</w:t>
      </w:r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br/>
        <w:t>Ottawa ON K1S 2L0</w:t>
      </w:r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br/>
        <w:t>613-882-5097</w:t>
      </w:r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br/>
      </w:r>
      <w:hyperlink r:id="rId6" w:history="1">
        <w:r w:rsidRPr="003D49EE">
          <w:rPr>
            <w:rFonts w:ascii="Avenir" w:eastAsia="Times New Roman" w:hAnsi="Avenir" w:cs="Times New Roman"/>
            <w:color w:val="0000FF"/>
            <w:sz w:val="18"/>
            <w:szCs w:val="18"/>
            <w:u w:val="single"/>
            <w:lang w:val="en-CA"/>
          </w:rPr>
          <w:t>canm@canm-acmn.ca</w:t>
        </w:r>
      </w:hyperlink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br/>
      </w:r>
      <w:hyperlink r:id="rId7" w:history="1">
        <w:r w:rsidRPr="003D49EE">
          <w:rPr>
            <w:rFonts w:ascii="Avenir" w:eastAsia="Times New Roman" w:hAnsi="Avenir" w:cs="Times New Roman"/>
            <w:color w:val="0000FF"/>
            <w:sz w:val="18"/>
            <w:szCs w:val="18"/>
            <w:u w:val="single"/>
            <w:lang w:val="en-CA"/>
          </w:rPr>
          <w:t>www.canm-acmn.ca</w:t>
        </w:r>
      </w:hyperlink>
      <w:r w:rsidRPr="003D49EE">
        <w:rPr>
          <w:rFonts w:ascii="Avenir" w:eastAsia="Times New Roman" w:hAnsi="Avenir" w:cs="Times New Roman"/>
          <w:color w:val="000000"/>
          <w:sz w:val="18"/>
          <w:szCs w:val="18"/>
          <w:lang w:val="en-CA"/>
        </w:rPr>
        <w:br/>
      </w:r>
    </w:p>
    <w:p w:rsidR="003D49EE" w:rsidRPr="003D49EE" w:rsidRDefault="003D49EE" w:rsidP="003D49EE">
      <w:pPr>
        <w:rPr>
          <w:rFonts w:ascii="Avenir" w:eastAsia="Times New Roman" w:hAnsi="Avenir" w:cs="Times New Roman"/>
          <w:color w:val="000000"/>
          <w:sz w:val="18"/>
          <w:szCs w:val="18"/>
          <w:lang w:val="en-CA"/>
        </w:rPr>
      </w:pPr>
    </w:p>
    <w:p w:rsidR="003D49EE" w:rsidRPr="003D49EE" w:rsidRDefault="003D49EE">
      <w:pPr>
        <w:rPr>
          <w:lang w:val="en-CA"/>
        </w:rPr>
      </w:pPr>
    </w:p>
    <w:sectPr w:rsidR="003D49EE" w:rsidRPr="003D49EE" w:rsidSect="00F1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-Book">
    <w:altName w:val="Cambria"/>
    <w:panose1 w:val="02000503020000020003"/>
    <w:charset w:val="00"/>
    <w:family w:val="roman"/>
    <w:notTrueType/>
    <w:pitch w:val="default"/>
  </w:font>
  <w:font w:name="Avenir">
    <w:altName w:val="Cambria"/>
    <w:panose1 w:val="020B0503020203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EE"/>
    <w:rsid w:val="00386F5E"/>
    <w:rsid w:val="003D49EE"/>
    <w:rsid w:val="005A384E"/>
    <w:rsid w:val="00732C70"/>
    <w:rsid w:val="00EA53D9"/>
    <w:rsid w:val="00F12331"/>
    <w:rsid w:val="00F90AAE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1056D"/>
  <w14:defaultImageDpi w14:val="32767"/>
  <w15:chartTrackingRefBased/>
  <w15:docId w15:val="{8AD0569A-2582-4142-89E5-0CAA7D05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9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49EE"/>
  </w:style>
  <w:style w:type="character" w:customStyle="1" w:styleId="apple-tab-span">
    <w:name w:val="apple-tab-span"/>
    <w:basedOn w:val="DefaultParagraphFont"/>
    <w:rsid w:val="003D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m-acm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m@canm-acmn.ca" TargetMode="External"/><Relationship Id="rId5" Type="http://schemas.openxmlformats.org/officeDocument/2006/relationships/hyperlink" Target="http://www.royalcollege.ca/rcsite/cpd" TargetMode="External"/><Relationship Id="rId4" Type="http://schemas.openxmlformats.org/officeDocument/2006/relationships/hyperlink" Target="http://elearning.eanm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Samson</dc:creator>
  <cp:keywords/>
  <dc:description/>
  <cp:lastModifiedBy>Hélène Samson</cp:lastModifiedBy>
  <cp:revision>2</cp:revision>
  <dcterms:created xsi:type="dcterms:W3CDTF">2019-11-07T15:29:00Z</dcterms:created>
  <dcterms:modified xsi:type="dcterms:W3CDTF">2019-11-08T01:11:00Z</dcterms:modified>
</cp:coreProperties>
</file>